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350"/>
        <w:gridCol w:w="766"/>
        <w:gridCol w:w="143"/>
        <w:gridCol w:w="1002"/>
        <w:gridCol w:w="937"/>
        <w:gridCol w:w="319"/>
        <w:gridCol w:w="1731"/>
        <w:gridCol w:w="160"/>
        <w:gridCol w:w="477"/>
        <w:gridCol w:w="2952"/>
      </w:tblGrid>
      <w:tr w:rsidR="000216AB" w:rsidRPr="005E671A" w:rsidTr="00DB0307">
        <w:trPr>
          <w:trHeight w:val="227"/>
        </w:trPr>
        <w:tc>
          <w:tcPr>
            <w:tcW w:w="414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20" w:type="dxa"/>
            <w:gridSpan w:val="4"/>
            <w:vAlign w:val="center"/>
          </w:tcPr>
          <w:p w:rsidR="000216AB" w:rsidRPr="00545D79" w:rsidRDefault="00545D79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Вера Здравковић</w:t>
            </w:r>
          </w:p>
        </w:tc>
      </w:tr>
      <w:tr w:rsidR="000216AB" w:rsidRPr="005E671A" w:rsidTr="00DB0307">
        <w:trPr>
          <w:trHeight w:val="227"/>
        </w:trPr>
        <w:tc>
          <w:tcPr>
            <w:tcW w:w="414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20" w:type="dxa"/>
            <w:gridSpan w:val="4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0216AB" w:rsidRPr="005E671A" w:rsidTr="00DB0307">
        <w:trPr>
          <w:trHeight w:val="227"/>
        </w:trPr>
        <w:tc>
          <w:tcPr>
            <w:tcW w:w="414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20" w:type="dxa"/>
            <w:gridSpan w:val="4"/>
            <w:vAlign w:val="center"/>
          </w:tcPr>
          <w:p w:rsidR="00545D79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Универзитетска дечја клиника 1994</w:t>
            </w:r>
          </w:p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2009</w:t>
            </w:r>
          </w:p>
        </w:tc>
      </w:tr>
      <w:tr w:rsidR="000216AB" w:rsidRPr="005E671A" w:rsidTr="00DB0307">
        <w:trPr>
          <w:trHeight w:val="227"/>
        </w:trPr>
        <w:tc>
          <w:tcPr>
            <w:tcW w:w="4148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20" w:type="dxa"/>
            <w:gridSpan w:val="4"/>
            <w:vAlign w:val="center"/>
          </w:tcPr>
          <w:p w:rsidR="000216AB" w:rsidRPr="00545D79" w:rsidRDefault="00545D79" w:rsidP="00355A08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Педијатрија (ендокринологија)</w:t>
            </w:r>
          </w:p>
        </w:tc>
      </w:tr>
      <w:tr w:rsidR="000216AB" w:rsidRPr="005E671A" w:rsidTr="00DB0307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DB0307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5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DB0307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2" w:type="dxa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 медицинског факултета</w:t>
            </w:r>
          </w:p>
        </w:tc>
        <w:tc>
          <w:tcPr>
            <w:tcW w:w="2952" w:type="dxa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Педијатрија</w:t>
            </w:r>
          </w:p>
        </w:tc>
      </w:tr>
      <w:tr w:rsidR="000216AB" w:rsidRPr="005E671A" w:rsidTr="00DB0307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2" w:type="dxa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2015</w:t>
            </w: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2952" w:type="dxa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0216AB" w:rsidRPr="005E671A" w:rsidTr="00DB0307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2952" w:type="dxa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Педијатрија</w:t>
            </w:r>
          </w:p>
        </w:tc>
      </w:tr>
      <w:tr w:rsidR="000216AB" w:rsidRPr="005E671A" w:rsidTr="00DB0307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Institute of Medical Science, University of Toronto, Canada</w:t>
            </w:r>
          </w:p>
        </w:tc>
        <w:tc>
          <w:tcPr>
            <w:tcW w:w="2952" w:type="dxa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0216AB" w:rsidRPr="005E671A" w:rsidTr="00DB0307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24" w:type="dxa"/>
            <w:gridSpan w:val="5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295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DB0307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DB0307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08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29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DB0307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08" w:type="dxa"/>
            <w:gridSpan w:val="8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Педијатрија </w:t>
            </w:r>
          </w:p>
        </w:tc>
        <w:tc>
          <w:tcPr>
            <w:tcW w:w="3429" w:type="dxa"/>
            <w:gridSpan w:val="2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 студије</w:t>
            </w:r>
          </w:p>
        </w:tc>
      </w:tr>
      <w:tr w:rsidR="000216AB" w:rsidRPr="005E671A" w:rsidTr="00DB0307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08" w:type="dxa"/>
            <w:gridSpan w:val="8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Педијатрија</w:t>
            </w:r>
          </w:p>
        </w:tc>
        <w:tc>
          <w:tcPr>
            <w:tcW w:w="3429" w:type="dxa"/>
            <w:gridSpan w:val="2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Специјалистичке студије</w:t>
            </w:r>
          </w:p>
        </w:tc>
      </w:tr>
      <w:tr w:rsidR="000216AB" w:rsidRPr="005E671A" w:rsidTr="00DB0307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08" w:type="dxa"/>
            <w:gridSpan w:val="8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Педијатрија за лекаре спортске медицине</w:t>
            </w:r>
          </w:p>
        </w:tc>
        <w:tc>
          <w:tcPr>
            <w:tcW w:w="3429" w:type="dxa"/>
            <w:gridSpan w:val="2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Специјалистичке студије</w:t>
            </w:r>
          </w:p>
        </w:tc>
      </w:tr>
      <w:tr w:rsidR="000216AB" w:rsidRPr="005E671A" w:rsidTr="00DB0307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4. </w:t>
            </w:r>
          </w:p>
        </w:tc>
        <w:tc>
          <w:tcPr>
            <w:tcW w:w="5408" w:type="dxa"/>
            <w:gridSpan w:val="8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  <w:tc>
          <w:tcPr>
            <w:tcW w:w="3429" w:type="dxa"/>
            <w:gridSpan w:val="2"/>
            <w:shd w:val="clear" w:color="auto" w:fill="auto"/>
            <w:vAlign w:val="center"/>
          </w:tcPr>
          <w:p w:rsidR="000216AB" w:rsidRPr="005E671A" w:rsidRDefault="00545D7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Субспецијалистичке студије</w:t>
            </w:r>
          </w:p>
        </w:tc>
      </w:tr>
      <w:tr w:rsidR="000216AB" w:rsidRPr="005E671A" w:rsidTr="00DB0307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08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DB0307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B0307" w:rsidRPr="005E671A" w:rsidTr="00DB0307">
        <w:trPr>
          <w:trHeight w:val="227"/>
        </w:trPr>
        <w:tc>
          <w:tcPr>
            <w:tcW w:w="981" w:type="dxa"/>
            <w:gridSpan w:val="2"/>
            <w:vAlign w:val="center"/>
          </w:tcPr>
          <w:p w:rsidR="00DB0307" w:rsidRPr="005E671A" w:rsidRDefault="00DB030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</w:tcPr>
          <w:p w:rsidR="00DB0307" w:rsidRPr="00BB63E0" w:rsidRDefault="00DB0307" w:rsidP="00905557">
            <w:pPr>
              <w:pStyle w:val="Heading1"/>
              <w:shd w:val="clear" w:color="auto" w:fill="FFFFFF"/>
              <w:spacing w:before="120" w:beforeAutospacing="0" w:after="120" w:afterAutospacing="0"/>
              <w:rPr>
                <w:color w:val="000000"/>
                <w:sz w:val="16"/>
                <w:szCs w:val="16"/>
              </w:rPr>
            </w:pPr>
            <w:r w:rsidRPr="00BB63E0">
              <w:rPr>
                <w:b w:val="0"/>
                <w:color w:val="000000"/>
                <w:sz w:val="16"/>
                <w:szCs w:val="16"/>
              </w:rPr>
              <w:t>Komazec J, </w:t>
            </w:r>
            <w:r w:rsidRPr="00BB63E0">
              <w:rPr>
                <w:b w:val="0"/>
                <w:bCs w:val="0"/>
                <w:color w:val="000000"/>
                <w:sz w:val="16"/>
                <w:szCs w:val="16"/>
              </w:rPr>
              <w:t>Zdravkovic V</w:t>
            </w:r>
            <w:r w:rsidRPr="00BB63E0">
              <w:rPr>
                <w:b w:val="0"/>
                <w:color w:val="000000"/>
                <w:sz w:val="16"/>
                <w:szCs w:val="16"/>
              </w:rPr>
              <w:t xml:space="preserve">, Sajic S, Jesic M, Andjelkovic M, Pavlovic S, Ugrin M. The importance of combined NGS and MLPA genetic tests for differential diagnosis of maturity onset diabetes of the young. </w:t>
            </w:r>
            <w:r w:rsidRPr="00BB63E0">
              <w:rPr>
                <w:rStyle w:val="jrnl"/>
                <w:b w:val="0"/>
                <w:color w:val="000000"/>
                <w:sz w:val="16"/>
                <w:szCs w:val="16"/>
              </w:rPr>
              <w:t>Endokrynol Pol</w:t>
            </w:r>
            <w:r w:rsidRPr="00BB63E0">
              <w:rPr>
                <w:b w:val="0"/>
                <w:color w:val="000000"/>
                <w:sz w:val="16"/>
                <w:szCs w:val="16"/>
              </w:rPr>
              <w:t>. 2019;70(1):28-36.</w:t>
            </w:r>
          </w:p>
        </w:tc>
      </w:tr>
      <w:tr w:rsidR="00DB0307" w:rsidRPr="005E671A" w:rsidTr="00DB0307">
        <w:trPr>
          <w:trHeight w:val="227"/>
        </w:trPr>
        <w:tc>
          <w:tcPr>
            <w:tcW w:w="981" w:type="dxa"/>
            <w:gridSpan w:val="2"/>
            <w:vAlign w:val="center"/>
          </w:tcPr>
          <w:p w:rsidR="00DB0307" w:rsidRPr="005E671A" w:rsidRDefault="00DB030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</w:tcPr>
          <w:p w:rsidR="00DB0307" w:rsidRPr="00BB63E0" w:rsidRDefault="00DB0307" w:rsidP="00905557">
            <w:pPr>
              <w:pStyle w:val="desc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BB63E0">
              <w:rPr>
                <w:color w:val="000000" w:themeColor="text1"/>
                <w:sz w:val="16"/>
                <w:szCs w:val="16"/>
              </w:rPr>
              <w:t xml:space="preserve">Zdravković V, Sajić S, Mitrović J, Stefanović I, Pavićević P, Nikolić D, Dimić J, Lalić NM. </w:t>
            </w:r>
            <w:hyperlink r:id="rId5" w:history="1">
              <w:r w:rsidRPr="00BB63E0">
                <w:rPr>
                  <w:rStyle w:val="Hyperlink"/>
                  <w:color w:val="000000" w:themeColor="text1"/>
                  <w:sz w:val="16"/>
                  <w:szCs w:val="16"/>
                  <w:u w:val="none"/>
                  <w:shd w:val="clear" w:color="auto" w:fill="FFFFFF"/>
                </w:rPr>
                <w:t>The Diagnosis of Prediabetes in Adolescents.</w:t>
              </w:r>
            </w:hyperlink>
            <w:r w:rsidRPr="00BB63E0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BB63E0">
              <w:rPr>
                <w:rStyle w:val="jrnl"/>
                <w:color w:val="000000" w:themeColor="text1"/>
                <w:sz w:val="16"/>
                <w:szCs w:val="16"/>
              </w:rPr>
              <w:t>J Med Biochem</w:t>
            </w:r>
            <w:r w:rsidRPr="00BB63E0">
              <w:rPr>
                <w:color w:val="000000" w:themeColor="text1"/>
                <w:sz w:val="16"/>
                <w:szCs w:val="16"/>
              </w:rPr>
              <w:t>. 2015 ;34(1):38-45.</w:t>
            </w:r>
          </w:p>
        </w:tc>
      </w:tr>
      <w:tr w:rsidR="00DB0307" w:rsidRPr="005E671A" w:rsidTr="00DB0307">
        <w:trPr>
          <w:trHeight w:val="227"/>
        </w:trPr>
        <w:tc>
          <w:tcPr>
            <w:tcW w:w="981" w:type="dxa"/>
            <w:gridSpan w:val="2"/>
            <w:vAlign w:val="center"/>
          </w:tcPr>
          <w:p w:rsidR="00DB0307" w:rsidRPr="005E671A" w:rsidRDefault="00DB030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</w:tcPr>
          <w:p w:rsidR="00DB0307" w:rsidRPr="00BB63E0" w:rsidRDefault="00DB0307" w:rsidP="00905557">
            <w:pPr>
              <w:pStyle w:val="desc"/>
              <w:shd w:val="clear" w:color="auto" w:fill="FFFFFF"/>
              <w:spacing w:before="0" w:beforeAutospacing="0" w:after="0" w:afterAutospacing="0" w:line="196" w:lineRule="atLeast"/>
              <w:rPr>
                <w:color w:val="000000"/>
                <w:sz w:val="16"/>
                <w:szCs w:val="16"/>
                <w:u w:val="single"/>
              </w:rPr>
            </w:pPr>
            <w:r w:rsidRPr="00BB63E0">
              <w:rPr>
                <w:color w:val="000000"/>
                <w:sz w:val="16"/>
                <w:szCs w:val="16"/>
              </w:rPr>
              <w:t xml:space="preserve">Ješić MD, Ješić MM, Stanisavljević D, </w:t>
            </w:r>
            <w:r w:rsidRPr="00BB63E0">
              <w:rPr>
                <w:color w:val="000000"/>
                <w:sz w:val="16"/>
                <w:szCs w:val="16"/>
                <w:u w:val="single"/>
              </w:rPr>
              <w:t>Zdravković V</w:t>
            </w:r>
            <w:r w:rsidRPr="00BB63E0">
              <w:rPr>
                <w:color w:val="000000"/>
                <w:sz w:val="16"/>
                <w:szCs w:val="16"/>
              </w:rPr>
              <w:t xml:space="preserve">, Bojić V, Vranješ M, Trifunović D, Necić S, Sajić S. </w:t>
            </w:r>
            <w:hyperlink r:id="rId6" w:history="1">
              <w:r w:rsidRPr="00BB63E0">
                <w:rPr>
                  <w:rStyle w:val="Hyperlink"/>
                  <w:color w:val="000000"/>
                  <w:sz w:val="16"/>
                  <w:szCs w:val="16"/>
                  <w:u w:val="none"/>
                </w:rPr>
                <w:t>Ketoacidosis at presentation of type 1 diabetes mellitus in children: a retrospective 20-year experience from a tertiary care hospital in Serbia.</w:t>
              </w:r>
            </w:hyperlink>
            <w:r w:rsidRPr="00BB63E0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B63E0">
              <w:rPr>
                <w:color w:val="000000"/>
                <w:sz w:val="16"/>
                <w:szCs w:val="16"/>
                <w:shd w:val="clear" w:color="auto" w:fill="FFFFFF"/>
              </w:rPr>
              <w:t>2013;172(12):1581-5</w:t>
            </w:r>
          </w:p>
        </w:tc>
      </w:tr>
      <w:tr w:rsidR="00DB0307" w:rsidRPr="005E671A" w:rsidTr="00DB0307">
        <w:trPr>
          <w:trHeight w:val="227"/>
        </w:trPr>
        <w:tc>
          <w:tcPr>
            <w:tcW w:w="981" w:type="dxa"/>
            <w:gridSpan w:val="2"/>
            <w:vAlign w:val="center"/>
          </w:tcPr>
          <w:p w:rsidR="00DB0307" w:rsidRPr="005E671A" w:rsidRDefault="00DB030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</w:tcPr>
          <w:p w:rsidR="00DB0307" w:rsidRPr="00BB63E0" w:rsidRDefault="00DB0307" w:rsidP="00905557">
            <w:pPr>
              <w:spacing w:after="240"/>
              <w:rPr>
                <w:sz w:val="16"/>
                <w:szCs w:val="16"/>
                <w:lang w:val="sr-Cyrl-CS"/>
              </w:rPr>
            </w:pPr>
            <w:r w:rsidRPr="00BB63E0">
              <w:rPr>
                <w:color w:val="000000"/>
                <w:sz w:val="16"/>
                <w:szCs w:val="16"/>
                <w:u w:val="single"/>
              </w:rPr>
              <w:t>Zdravkovic V</w:t>
            </w:r>
            <w:r w:rsidRPr="00BB63E0">
              <w:rPr>
                <w:color w:val="000000"/>
                <w:sz w:val="16"/>
                <w:szCs w:val="16"/>
              </w:rPr>
              <w:t>, Hamilton JK, Daneman D, Cummings EA.J Pediatr. 2006;149(6):845-849. Pioglitazone as adjunctive therapy in adolescents with type 1 diabetes.</w:t>
            </w:r>
          </w:p>
        </w:tc>
      </w:tr>
      <w:tr w:rsidR="00DB0307" w:rsidRPr="005E671A" w:rsidTr="00DB0307">
        <w:trPr>
          <w:trHeight w:val="227"/>
        </w:trPr>
        <w:tc>
          <w:tcPr>
            <w:tcW w:w="981" w:type="dxa"/>
            <w:gridSpan w:val="2"/>
            <w:vAlign w:val="center"/>
          </w:tcPr>
          <w:p w:rsidR="00DB0307" w:rsidRPr="005E671A" w:rsidRDefault="00DB030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</w:tcPr>
          <w:p w:rsidR="00DB0307" w:rsidRPr="00BB63E0" w:rsidRDefault="00DB0307" w:rsidP="00905557">
            <w:pPr>
              <w:spacing w:after="240"/>
              <w:rPr>
                <w:sz w:val="16"/>
                <w:szCs w:val="16"/>
                <w:lang w:val="sr-Cyrl-CS"/>
              </w:rPr>
            </w:pPr>
            <w:r w:rsidRPr="00BB63E0">
              <w:rPr>
                <w:color w:val="000000"/>
                <w:sz w:val="16"/>
                <w:szCs w:val="16"/>
              </w:rPr>
              <w:t xml:space="preserve">Turton JP, Reynaud R, Mehta A, Torpiano J, Saveanu A, Woods KS, Tiulpakov A, </w:t>
            </w:r>
            <w:r w:rsidRPr="00BB63E0">
              <w:rPr>
                <w:color w:val="000000"/>
                <w:sz w:val="16"/>
                <w:szCs w:val="16"/>
                <w:u w:val="single"/>
              </w:rPr>
              <w:t>Zdravkovic V</w:t>
            </w:r>
            <w:r w:rsidRPr="00BB63E0">
              <w:rPr>
                <w:color w:val="000000"/>
                <w:sz w:val="16"/>
                <w:szCs w:val="16"/>
              </w:rPr>
              <w:t>, Hamilton J, Attard-Montalto S, Parascandalo R, Vella C, Clayton PE, Shalet S, Barton J, Brue T, Dattani MT. Novel mutations within the POU1F1 gene associated with variable combined pituitary hormone deficiency. J Clin Endocrinol Metab. 2005;90(8):4762-70.</w:t>
            </w:r>
          </w:p>
        </w:tc>
      </w:tr>
      <w:tr w:rsidR="00DB0307" w:rsidRPr="005E671A" w:rsidTr="00DB0307">
        <w:trPr>
          <w:trHeight w:val="227"/>
        </w:trPr>
        <w:tc>
          <w:tcPr>
            <w:tcW w:w="981" w:type="dxa"/>
            <w:gridSpan w:val="2"/>
            <w:vAlign w:val="center"/>
          </w:tcPr>
          <w:p w:rsidR="00DB0307" w:rsidRPr="005E671A" w:rsidRDefault="00DB030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</w:tcPr>
          <w:p w:rsidR="00DB0307" w:rsidRPr="00BB63E0" w:rsidRDefault="00DB0307" w:rsidP="00905557">
            <w:pPr>
              <w:spacing w:after="240"/>
              <w:rPr>
                <w:sz w:val="16"/>
                <w:szCs w:val="16"/>
                <w:lang w:val="sr-Cyrl-CS"/>
              </w:rPr>
            </w:pPr>
            <w:r w:rsidRPr="00BB63E0">
              <w:rPr>
                <w:color w:val="000000"/>
                <w:sz w:val="16"/>
                <w:szCs w:val="16"/>
                <w:u w:val="single"/>
              </w:rPr>
              <w:t>Zdravkovic V</w:t>
            </w:r>
            <w:r w:rsidRPr="00BB63E0">
              <w:rPr>
                <w:color w:val="000000"/>
                <w:sz w:val="16"/>
                <w:szCs w:val="16"/>
              </w:rPr>
              <w:t>, Daneman D, Hamilton J.Diabet Med. 2004;21(10):1144-8. Presentation and course of Type 2 diabetes in youth in a large multi-ethnic city.</w:t>
            </w:r>
          </w:p>
        </w:tc>
      </w:tr>
      <w:tr w:rsidR="00DB0307" w:rsidRPr="005E671A" w:rsidTr="00DB0307">
        <w:trPr>
          <w:trHeight w:val="227"/>
        </w:trPr>
        <w:tc>
          <w:tcPr>
            <w:tcW w:w="981" w:type="dxa"/>
            <w:gridSpan w:val="2"/>
            <w:vAlign w:val="center"/>
          </w:tcPr>
          <w:p w:rsidR="00DB0307" w:rsidRPr="005E671A" w:rsidRDefault="00DB0307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7" w:type="dxa"/>
            <w:gridSpan w:val="9"/>
            <w:shd w:val="clear" w:color="auto" w:fill="auto"/>
          </w:tcPr>
          <w:p w:rsidR="00DB0307" w:rsidRPr="00BB63E0" w:rsidRDefault="00DB0307" w:rsidP="00905557">
            <w:pPr>
              <w:spacing w:after="240"/>
              <w:rPr>
                <w:sz w:val="16"/>
                <w:szCs w:val="16"/>
                <w:lang w:val="sr-Cyrl-CS"/>
              </w:rPr>
            </w:pPr>
            <w:r w:rsidRPr="00BB63E0">
              <w:rPr>
                <w:color w:val="000000"/>
                <w:sz w:val="16"/>
                <w:szCs w:val="16"/>
              </w:rPr>
              <w:t xml:space="preserve">Hamilton J, Cummings E, </w:t>
            </w:r>
            <w:r w:rsidRPr="00BB63E0">
              <w:rPr>
                <w:color w:val="000000"/>
                <w:sz w:val="16"/>
                <w:szCs w:val="16"/>
                <w:u w:val="single"/>
              </w:rPr>
              <w:t>Zdravkovic V</w:t>
            </w:r>
            <w:r w:rsidRPr="00BB63E0">
              <w:rPr>
                <w:color w:val="000000"/>
                <w:sz w:val="16"/>
                <w:szCs w:val="16"/>
              </w:rPr>
              <w:t>, Finegood D, Daneman D.Diabetes Care. 2003;26(1):138-43. Metformin as an adjunct therapy in adolescents with type 1 diabetes and insulin resistance: a randomized controlled trial.</w:t>
            </w:r>
          </w:p>
        </w:tc>
      </w:tr>
      <w:tr w:rsidR="000216AB" w:rsidRPr="005E671A" w:rsidTr="00DB0307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DB0307">
        <w:trPr>
          <w:trHeight w:val="227"/>
        </w:trPr>
        <w:tc>
          <w:tcPr>
            <w:tcW w:w="3829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639" w:type="dxa"/>
            <w:gridSpan w:val="5"/>
            <w:vAlign w:val="center"/>
          </w:tcPr>
          <w:p w:rsidR="000216AB" w:rsidRPr="00B9655A" w:rsidRDefault="00DB0307" w:rsidP="00355A0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284</w:t>
            </w:r>
            <w:r w:rsidR="00B9655A">
              <w:rPr>
                <w:lang w:val="en-US"/>
              </w:rPr>
              <w:t xml:space="preserve"> </w:t>
            </w:r>
            <w:r w:rsidR="00B9655A">
              <w:rPr>
                <w:lang/>
              </w:rPr>
              <w:t>(</w:t>
            </w:r>
            <w:r w:rsidR="00B9655A">
              <w:rPr>
                <w:lang w:val="en-US"/>
              </w:rPr>
              <w:t>Scopus)</w:t>
            </w:r>
            <w:bookmarkStart w:id="0" w:name="_GoBack"/>
            <w:bookmarkEnd w:id="0"/>
          </w:p>
        </w:tc>
      </w:tr>
      <w:tr w:rsidR="000216AB" w:rsidRPr="005E671A" w:rsidTr="00DB0307">
        <w:trPr>
          <w:trHeight w:val="227"/>
        </w:trPr>
        <w:tc>
          <w:tcPr>
            <w:tcW w:w="3829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639" w:type="dxa"/>
            <w:gridSpan w:val="5"/>
            <w:vAlign w:val="center"/>
          </w:tcPr>
          <w:p w:rsidR="000216AB" w:rsidRPr="005E671A" w:rsidRDefault="00DB0307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</w:tr>
      <w:tr w:rsidR="000216AB" w:rsidRPr="005E671A" w:rsidTr="00DB0307">
        <w:trPr>
          <w:trHeight w:val="227"/>
        </w:trPr>
        <w:tc>
          <w:tcPr>
            <w:tcW w:w="3829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0" w:type="dxa"/>
            <w:gridSpan w:val="2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  <w:r w:rsidR="00DB0307">
              <w:rPr>
                <w:lang w:val="sr-Cyrl-CS"/>
              </w:rPr>
              <w:t xml:space="preserve">   1</w:t>
            </w:r>
          </w:p>
        </w:tc>
        <w:tc>
          <w:tcPr>
            <w:tcW w:w="3589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 w:rsidR="00DB0307">
              <w:rPr>
                <w:lang w:val="sr-Cyrl-CS"/>
              </w:rPr>
              <w:t xml:space="preserve">    1</w:t>
            </w:r>
          </w:p>
        </w:tc>
      </w:tr>
      <w:tr w:rsidR="000216AB" w:rsidRPr="005E671A" w:rsidTr="00DB0307">
        <w:trPr>
          <w:trHeight w:val="227"/>
        </w:trPr>
        <w:tc>
          <w:tcPr>
            <w:tcW w:w="1747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721" w:type="dxa"/>
            <w:gridSpan w:val="8"/>
            <w:vAlign w:val="center"/>
          </w:tcPr>
          <w:p w:rsidR="00DB0307" w:rsidRDefault="00DB0307" w:rsidP="00DB0307">
            <w:pPr>
              <w:rPr>
                <w:color w:val="000000"/>
              </w:rPr>
            </w:pPr>
            <w:r>
              <w:rPr>
                <w:color w:val="000000"/>
              </w:rPr>
              <w:t xml:space="preserve">1. Middlesex Hospital &amp;GOS, London UK 1994, 4 months, Serbian Medical Women Fund  Scholarschip     </w:t>
            </w:r>
          </w:p>
          <w:p w:rsidR="00DB0307" w:rsidRDefault="00DB0307" w:rsidP="00DB030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2.ISPAD Winter School,1994, ESPE Winter School 1998, Sofia, Bulgaria</w:t>
            </w:r>
          </w:p>
          <w:p w:rsidR="00DB0307" w:rsidRDefault="00DB0307" w:rsidP="00DB03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 ISPAD Science School 2002, Toronto, Canada                                                                                                                                                                        5. Hospital for Sick Children, Toronto, Canada, 1999-2005, Fellowship in pediatric endocrinology</w:t>
            </w:r>
          </w:p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DB0307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lastRenderedPageBreak/>
              <w:t>Други подаци које сматрате релевантним</w:t>
            </w:r>
          </w:p>
        </w:tc>
      </w:tr>
      <w:tr w:rsidR="000216AB" w:rsidRPr="005E671A" w:rsidTr="00DB0307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20"/>
  <w:characterSpacingControl w:val="doNotCompress"/>
  <w:compat/>
  <w:rsids>
    <w:rsidRoot w:val="000216AB"/>
    <w:rsid w:val="000216AB"/>
    <w:rsid w:val="002A38A9"/>
    <w:rsid w:val="00545D79"/>
    <w:rsid w:val="00752DD9"/>
    <w:rsid w:val="007B170D"/>
    <w:rsid w:val="00B9655A"/>
    <w:rsid w:val="00D91412"/>
    <w:rsid w:val="00DB0307"/>
    <w:rsid w:val="00F54702"/>
    <w:rsid w:val="00FD1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DB030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30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jrnl">
    <w:name w:val="jrnl"/>
    <w:basedOn w:val="DefaultParagraphFont"/>
    <w:rsid w:val="00DB0307"/>
  </w:style>
  <w:style w:type="character" w:styleId="Hyperlink">
    <w:name w:val="Hyperlink"/>
    <w:basedOn w:val="DefaultParagraphFont"/>
    <w:uiPriority w:val="99"/>
    <w:unhideWhenUsed/>
    <w:rsid w:val="00DB0307"/>
    <w:rPr>
      <w:color w:val="0000FF"/>
      <w:u w:val="single"/>
    </w:rPr>
  </w:style>
  <w:style w:type="paragraph" w:customStyle="1" w:styleId="desc">
    <w:name w:val="desc"/>
    <w:basedOn w:val="Normal"/>
    <w:rsid w:val="00DB03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DB030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30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jrnl">
    <w:name w:val="jrnl"/>
    <w:basedOn w:val="DefaultParagraphFont"/>
    <w:rsid w:val="00DB0307"/>
  </w:style>
  <w:style w:type="character" w:styleId="Hyperlink">
    <w:name w:val="Hyperlink"/>
    <w:basedOn w:val="DefaultParagraphFont"/>
    <w:uiPriority w:val="99"/>
    <w:unhideWhenUsed/>
    <w:rsid w:val="00DB0307"/>
    <w:rPr>
      <w:color w:val="0000FF"/>
      <w:u w:val="single"/>
    </w:rPr>
  </w:style>
  <w:style w:type="paragraph" w:customStyle="1" w:styleId="desc">
    <w:name w:val="desc"/>
    <w:basedOn w:val="Normal"/>
    <w:rsid w:val="00DB03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3835857" TargetMode="External"/><Relationship Id="rId5" Type="http://schemas.openxmlformats.org/officeDocument/2006/relationships/hyperlink" Target="https://www.ncbi.nlm.nih.gov/pubmed/28356822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Windows korisnik</cp:lastModifiedBy>
  <cp:revision>2</cp:revision>
  <dcterms:created xsi:type="dcterms:W3CDTF">2019-06-03T08:02:00Z</dcterms:created>
  <dcterms:modified xsi:type="dcterms:W3CDTF">2019-06-03T08:02:00Z</dcterms:modified>
</cp:coreProperties>
</file>